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color w:val="auto"/>
          <w:sz w:val="28"/>
          <w:szCs w:val="28"/>
        </w:rPr>
      </w:pPr>
      <w:r>
        <w:rPr>
          <w:rFonts w:ascii="Tinos" w:hAnsi="Tinos" w:eastAsia="Tinos" w:cs="Tinos"/>
          <w:color w:val="auto"/>
          <w:sz w:val="28"/>
          <w:szCs w:val="28"/>
        </w:rPr>
      </w:r>
      <w:r>
        <w:rPr>
          <w:rFonts w:ascii="Tinos" w:hAnsi="Tinos" w:eastAsia="Tinos" w:cs="Tinos"/>
          <w:color w:val="auto"/>
          <w:sz w:val="28"/>
          <w:szCs w:val="28"/>
        </w:rPr>
      </w:r>
      <w:r>
        <w:rPr>
          <w:rFonts w:ascii="Tinos" w:hAnsi="Tinos" w:cs="Tinos"/>
          <w:color w:val="auto"/>
          <w:sz w:val="28"/>
          <w:szCs w:val="28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rPr>
          <w:rFonts w:ascii="Tinos" w:hAnsi="Tinos" w:cs="Tinos"/>
          <w:b/>
          <w:bCs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b w:val="0"/>
          <w:bCs w:val="0"/>
          <w:color w:val="auto"/>
          <w:sz w:val="28"/>
          <w:szCs w:val="28"/>
          <w:highlight w:val="none"/>
        </w:rPr>
        <w:t xml:space="preserve">Забайкальский Росреестр: до 200 тысяч рублей штрафа может быть назначено за уничтожение пункта государственной </w:t>
      </w:r>
      <w:r>
        <w:rPr>
          <w:rFonts w:ascii="Tinos" w:hAnsi="Tinos" w:eastAsia="Tinos" w:cs="Tinos"/>
          <w:b w:val="0"/>
          <w:bCs w:val="0"/>
          <w:color w:val="auto"/>
          <w:sz w:val="28"/>
          <w:szCs w:val="28"/>
        </w:rPr>
        <w:t xml:space="preserve">геодезической сети</w:t>
      </w:r>
      <w:r>
        <w:rPr>
          <w:rFonts w:ascii="Tinos" w:hAnsi="Tinos" w:cs="Tinos"/>
          <w:b w:val="0"/>
          <w:bCs w:val="0"/>
          <w:color w:val="auto"/>
          <w:sz w:val="28"/>
          <w:szCs w:val="28"/>
        </w:rPr>
      </w:r>
    </w:p>
    <w:p>
      <w:pPr>
        <w:ind w:left="0" w:right="0" w:firstLine="709"/>
        <w:jc w:val="both"/>
        <w:spacing w:before="57" w:beforeAutospacing="0" w:after="57" w:afterAutospacing="0" w:line="283" w:lineRule="atLeast"/>
        <w:rPr>
          <w:rFonts w:ascii="Tinos" w:hAnsi="Tinos" w:cs="Tinos"/>
          <w:b/>
          <w:bCs/>
          <w:color w:val="auto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b/>
          <w:bCs/>
          <w:color w:val="auto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auto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auto"/>
          <w:sz w:val="28"/>
          <w:szCs w:val="28"/>
          <w:highlight w:val="none"/>
        </w:rPr>
      </w:r>
    </w:p>
    <w:p>
      <w:pPr>
        <w:ind w:firstLine="709"/>
        <w:jc w:val="both"/>
        <w:spacing w:after="0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Забайкальского края количество пунктов государственной геодезической сети (ГГС), государственной нивелирной сети (ГНС) и государственной гравиметрической сети (ГГрС) в целом составляет 34 957 </w:t>
      </w:r>
      <w:r>
        <w:rPr>
          <w:rFonts w:ascii="Times New Roman" w:hAnsi="Times New Roman"/>
          <w:sz w:val="28"/>
          <w:szCs w:val="28"/>
        </w:rPr>
        <w:t xml:space="preserve">единиц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NewRoman"/>
          <w:sz w:val="28"/>
          <w:szCs w:val="28"/>
          <w:highlight w:val="none"/>
        </w:rPr>
      </w:r>
      <w:r>
        <w:rPr>
          <w:rFonts w:ascii="Times New Roman" w:hAnsi="Times New Roman" w:eastAsia="TimesNewRoman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eastAsia="TimesNew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Положением об охранных зонах пунктов государственной геодезической сети, государственной нивелирной сети             и государственной гравиметрической сети, утверждённого постановлением Правительства Российской Федерации о</w:t>
      </w:r>
      <w:r>
        <w:rPr>
          <w:rFonts w:ascii="Times New Roman" w:hAnsi="Times New Roman"/>
          <w:sz w:val="28"/>
          <w:szCs w:val="28"/>
        </w:rPr>
        <w:t xml:space="preserve">т 21.08.2019 № 1080, специалистами Управления при взаимодействии с Филиалом ППК «Роскадастр» по Забайкальскому краю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к 23.06.2025</w:t>
      </w:r>
      <w:r>
        <w:rPr>
          <w:rFonts w:ascii="Times New Roman" w:hAnsi="Times New Roman" w:eastAsiaTheme="minorHAns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установлены охранные зоны и внесены сведения в Единый государственный реестр недвижимости (ЕГРН) о 10 92</w:t>
      </w:r>
      <w:r>
        <w:rPr>
          <w:rFonts w:ascii="Times New Roman" w:hAnsi="Times New Roman"/>
          <w:sz w:val="28"/>
          <w:szCs w:val="28"/>
        </w:rPr>
        <w:t xml:space="preserve">0</w:t>
      </w:r>
      <w:r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 xml:space="preserve">ах</w:t>
      </w:r>
      <w:r>
        <w:rPr>
          <w:rFonts w:ascii="Times New Roman" w:hAnsi="Times New Roman"/>
          <w:sz w:val="28"/>
          <w:szCs w:val="28"/>
        </w:rPr>
        <w:t xml:space="preserve"> ГГС, что составляет 100%, о 630 </w:t>
      </w:r>
      <w:r>
        <w:rPr>
          <w:rFonts w:ascii="Times New Roman" w:hAnsi="Times New Roman"/>
          <w:sz w:val="28"/>
          <w:szCs w:val="28"/>
        </w:rPr>
        <w:t xml:space="preserve">пунктах ГНС</w:t>
      </w:r>
      <w:r>
        <w:rPr>
          <w:rFonts w:ascii="Times New Roman" w:hAnsi="Times New Roman"/>
          <w:sz w:val="28"/>
          <w:szCs w:val="28"/>
        </w:rPr>
        <w:t xml:space="preserve">, что составляет </w:t>
      </w:r>
      <w:r>
        <w:rPr>
          <w:rFonts w:ascii="Times New Roman" w:hAnsi="Times New Roman"/>
          <w:sz w:val="28"/>
          <w:szCs w:val="28"/>
        </w:rPr>
        <w:t xml:space="preserve">11,76%, о 22 пунктах ГГрС, что составляет 100% (с учетом </w:t>
      </w:r>
      <w:r>
        <w:rPr>
          <w:rFonts w:ascii="Times New Roman" w:hAnsi="Times New Roman" w:eastAsia="TimesNewRoman"/>
          <w:sz w:val="28"/>
          <w:szCs w:val="28"/>
        </w:rPr>
        <w:t xml:space="preserve">уничтоженных и недоступных).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1_888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1_888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Проводимая Управлением Росреестра по Забайкальскому краю работа по внесению в Единый государственный реестр недвижимости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охранных зон геодезических пунктов способствует их сохранности.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888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p>
      <w:pPr>
        <w:pStyle w:val="1_888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пределах границ охранных зон пунктов запрещается использование земельных участков для осуществления видов деятельности, приводящих к повреждению или уничтожению наружных опознавательных знаков пунктов, нарушению неизменности местоположения их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центров, уничтожению, перемещению, засыпке или повреждению составных частей пунктов. 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1_888"/>
        <w:ind w:firstLine="709"/>
        <w:jc w:val="both"/>
        <w:spacing w:line="27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ffffff"/>
        </w:rPr>
      </w:r>
    </w:p>
    <w:p>
      <w:pPr>
        <w:pStyle w:val="1_888"/>
        <w:numPr>
          <w:ilvl w:val="0"/>
          <w:numId w:val="5"/>
        </w:numPr>
        <w:ind w:left="0" w:right="0" w:firstLine="0"/>
        <w:jc w:val="both"/>
        <w:spacing w:line="27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Также на земельных участках в границах охранных зон пунктов запрещается проведение работ, размещение объектов и предметов, которые могут препятствовать доступу к пунктам, – отмечает Татьяна Лобан, заместитель руководителя Управления Росреестра по Забайкальскому краю.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before="57" w:beforeAutospacing="0" w:after="57" w:afterAutospacing="0" w:line="283" w:lineRule="atLeast"/>
        <w:rPr>
          <w:rFonts w:ascii="Tinos" w:hAnsi="Tinos" w:cs="Tinos"/>
          <w:color w:val="auto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auto"/>
          <w:sz w:val="28"/>
          <w:szCs w:val="28"/>
          <w:highlight w:val="none"/>
        </w:rPr>
      </w:r>
      <w:r>
        <w:rPr>
          <w:rFonts w:ascii="Tinos" w:hAnsi="Tinos" w:eastAsia="Tinos" w:cs="Tinos"/>
          <w:color w:val="auto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57" w:beforeAutospacing="0" w:after="57" w:afterAutospacing="0" w:line="283" w:lineRule="atLeast"/>
        <w:rPr>
          <w:rFonts w:ascii="Tinos" w:hAnsi="Tinos" w:eastAsia="Tinos" w:cs="Tinos"/>
          <w:color w:val="auto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auto"/>
          <w:sz w:val="28"/>
          <w:szCs w:val="28"/>
        </w:rPr>
        <w:t xml:space="preserve">На сегодняшний день одной из актуальных проблем является уничтожение геодезических пунктов. </w:t>
      </w:r>
      <w:r>
        <w:rPr>
          <w:rFonts w:ascii="Tinos" w:hAnsi="Tinos" w:eastAsia="Tinos" w:cs="Tinos"/>
          <w:color w:val="auto"/>
          <w:sz w:val="28"/>
          <w:szCs w:val="28"/>
        </w:rPr>
      </w:r>
      <w:r>
        <w:rPr>
          <w:rFonts w:ascii="Tinos" w:hAnsi="Tinos" w:eastAsia="Tinos" w:cs="Tinos"/>
          <w:color w:val="auto"/>
          <w:sz w:val="28"/>
          <w:szCs w:val="28"/>
          <w:highlight w:val="none"/>
        </w:rPr>
      </w:r>
      <w:r>
        <w:rPr>
          <w:rFonts w:ascii="Tinos" w:hAnsi="Tinos" w:eastAsia="Tinos" w:cs="Tinos"/>
          <w:color w:val="auto"/>
          <w:sz w:val="28"/>
          <w:szCs w:val="28"/>
          <w:highlight w:val="none"/>
        </w:rPr>
      </w:r>
      <w:r>
        <w:rPr>
          <w:rFonts w:ascii="Tinos" w:hAnsi="Tinos" w:cs="Tinos"/>
          <w:color w:val="auto"/>
          <w:sz w:val="28"/>
          <w:szCs w:val="28"/>
          <w:highlight w:val="none"/>
        </w:rPr>
      </w:r>
      <w:r>
        <w:rPr>
          <w:rFonts w:ascii="Tinos" w:hAnsi="Tinos" w:cs="Tinos"/>
          <w:color w:val="auto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57" w:beforeAutospacing="0" w:after="57" w:afterAutospacing="0" w:line="283" w:lineRule="atLeast"/>
        <w:rPr>
          <w:rFonts w:ascii="Tinos" w:hAnsi="Tinos" w:cs="Tinos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auto"/>
          <w:sz w:val="28"/>
          <w:szCs w:val="28"/>
          <w:highlight w:val="none"/>
        </w:rPr>
      </w:r>
      <w:r>
        <w:rPr>
          <w:rFonts w:ascii="Tinos" w:hAnsi="Tinos" w:eastAsia="Tinos" w:cs="Tinos"/>
          <w:color w:val="auto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57" w:beforeAutospacing="0" w:after="57" w:afterAutospacing="0" w:line="283" w:lineRule="atLeast"/>
        <w:rPr>
          <w:rFonts w:ascii="Tinos" w:hAnsi="Tinos" w:cs="Tinos"/>
          <w:color w:val="auto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auto"/>
          <w:sz w:val="28"/>
          <w:szCs w:val="28"/>
        </w:rPr>
        <w:t xml:space="preserve">В соответствии со статьей 42 Земельного кодекса РФ собственники земельных участков и лица, не являющиеся собственниками земельных участков, обязаны сохранять межевые, геодезические и другие специальные знаки, установленные на земельных участках в соответст</w:t>
      </w:r>
      <w:r>
        <w:rPr>
          <w:rFonts w:ascii="Tinos" w:hAnsi="Tinos" w:eastAsia="Tinos" w:cs="Tinos"/>
          <w:color w:val="auto"/>
          <w:sz w:val="28"/>
          <w:szCs w:val="28"/>
        </w:rPr>
        <w:t xml:space="preserve">вии с законодательством. Повреждение или уничтожение геодезических пунктов, а также хищение материалов, из которых они изготовлены, влекут за собой ответственность в соответствии со ст. 7.2 Кодекса РФ об административ</w:t>
      </w:r>
      <w:r>
        <w:rPr>
          <w:rFonts w:ascii="Tinos" w:hAnsi="Tinos" w:eastAsia="Tinos" w:cs="Tinos"/>
          <w:color w:val="auto"/>
          <w:sz w:val="28"/>
          <w:szCs w:val="28"/>
        </w:rPr>
        <w:t xml:space="preserve">ных правонарушениях:</w:t>
      </w:r>
      <w:r>
        <w:rPr>
          <w:rFonts w:ascii="Tinos" w:hAnsi="Tinos" w:eastAsia="Tinos" w:cs="Tinos"/>
          <w:color w:val="auto"/>
          <w:sz w:val="28"/>
          <w:szCs w:val="28"/>
        </w:rPr>
      </w:r>
      <w:r>
        <w:rPr>
          <w:rFonts w:ascii="Tinos" w:hAnsi="Tinos" w:eastAsia="Tinos" w:cs="Tinos"/>
          <w:color w:val="auto"/>
          <w:sz w:val="28"/>
          <w:szCs w:val="28"/>
        </w:rPr>
      </w:r>
    </w:p>
    <w:p>
      <w:pPr>
        <w:ind w:left="0" w:right="0" w:firstLine="709"/>
        <w:jc w:val="both"/>
        <w:spacing w:before="57" w:beforeAutospacing="0" w:after="57" w:afterAutospacing="0" w:line="283" w:lineRule="atLeast"/>
        <w:rPr>
          <w:rFonts w:ascii="Tinos" w:hAnsi="Tinos" w:cs="Tinos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auto"/>
          <w:sz w:val="28"/>
          <w:szCs w:val="28"/>
          <w:highlight w:val="none"/>
        </w:rPr>
      </w:r>
      <w:r>
        <w:rPr>
          <w:rFonts w:ascii="Tinos" w:hAnsi="Tinos" w:eastAsia="Tinos" w:cs="Tinos"/>
          <w:color w:val="auto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57" w:beforeAutospacing="0" w:after="57" w:afterAutospacing="0" w:line="283" w:lineRule="atLeast"/>
        <w:rPr>
          <w:rFonts w:ascii="Tinos" w:hAnsi="Tinos" w:cs="Tinos"/>
          <w:color w:val="auto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auto"/>
          <w:sz w:val="28"/>
          <w:szCs w:val="28"/>
        </w:rPr>
        <w:t xml:space="preserve">– за неуведомление об изменениях состояния пункта или отказ в предоставлении возможности проезда к нему – предупреждение или наложение административного штрафа в размере от 1000</w:t>
        <w:br/>
        <w:t xml:space="preserve">до 5000 рублей;</w:t>
      </w:r>
      <w:r>
        <w:rPr>
          <w:rFonts w:ascii="Tinos" w:hAnsi="Tinos" w:eastAsia="Tinos" w:cs="Tinos"/>
          <w:color w:val="auto"/>
          <w:sz w:val="28"/>
          <w:szCs w:val="28"/>
        </w:rPr>
      </w:r>
      <w:r>
        <w:rPr>
          <w:rFonts w:ascii="Tinos" w:hAnsi="Tinos" w:eastAsia="Tinos" w:cs="Tinos"/>
          <w:color w:val="auto"/>
          <w:sz w:val="28"/>
          <w:szCs w:val="28"/>
        </w:rPr>
      </w:r>
    </w:p>
    <w:p>
      <w:pPr>
        <w:ind w:left="0" w:right="0" w:firstLine="709"/>
        <w:jc w:val="both"/>
        <w:spacing w:before="57" w:beforeAutospacing="0" w:after="57" w:afterAutospacing="0" w:line="283" w:lineRule="atLeast"/>
        <w:rPr>
          <w:rFonts w:ascii="Tinos" w:hAnsi="Tinos" w:cs="Tinos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auto"/>
          <w:sz w:val="28"/>
          <w:szCs w:val="28"/>
          <w:highlight w:val="none"/>
        </w:rPr>
      </w:r>
      <w:r>
        <w:rPr>
          <w:rFonts w:ascii="Tinos" w:hAnsi="Tinos" w:eastAsia="Tinos" w:cs="Tinos"/>
          <w:color w:val="auto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57" w:beforeAutospacing="0" w:after="57" w:afterAutospacing="0" w:line="283" w:lineRule="atLeast"/>
        <w:rPr>
          <w:rFonts w:ascii="Tinos" w:hAnsi="Tinos" w:cs="Tinos"/>
          <w:color w:val="auto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auto"/>
          <w:sz w:val="28"/>
          <w:szCs w:val="28"/>
        </w:rPr>
        <w:t xml:space="preserve">– за уничтожение, повреждение или снос пунктов государственных геодезических сетей – наложение административного штрафа на граждан в размере от 5000 до 10 000 рублей; на должностных лиц – от 10 000 до 50 000 рублей; на юридических лиц – от 50 000 до 200 00</w:t>
      </w:r>
      <w:r>
        <w:rPr>
          <w:rFonts w:ascii="Tinos" w:hAnsi="Tinos" w:eastAsia="Tinos" w:cs="Tinos"/>
          <w:color w:val="auto"/>
          <w:sz w:val="28"/>
          <w:szCs w:val="28"/>
        </w:rPr>
        <w:t xml:space="preserve">0 рублей.</w:t>
      </w:r>
      <w:r>
        <w:rPr>
          <w:rFonts w:ascii="Tinos" w:hAnsi="Tinos" w:eastAsia="Tinos" w:cs="Tinos"/>
          <w:color w:val="auto"/>
          <w:sz w:val="28"/>
          <w:szCs w:val="28"/>
        </w:rPr>
      </w:r>
      <w:r>
        <w:rPr>
          <w:rFonts w:ascii="Tinos" w:hAnsi="Tinos" w:eastAsia="Tinos" w:cs="Tinos"/>
          <w:color w:val="auto"/>
          <w:sz w:val="28"/>
          <w:szCs w:val="28"/>
        </w:rPr>
      </w:r>
    </w:p>
    <w:p>
      <w:pPr>
        <w:ind w:left="0" w:right="0" w:firstLine="709"/>
        <w:jc w:val="both"/>
        <w:spacing w:before="57" w:beforeAutospacing="0" w:after="57" w:afterAutospacing="0" w:line="283" w:lineRule="atLeast"/>
        <w:rPr>
          <w:rFonts w:ascii="Tinos" w:hAnsi="Tinos" w:cs="Tinos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auto"/>
          <w:sz w:val="28"/>
          <w:szCs w:val="28"/>
          <w:highlight w:val="none"/>
        </w:rPr>
      </w:r>
      <w:r>
        <w:rPr>
          <w:rFonts w:ascii="Tinos" w:hAnsi="Tinos" w:eastAsia="Tinos" w:cs="Tinos"/>
          <w:color w:val="auto"/>
          <w:sz w:val="28"/>
          <w:szCs w:val="28"/>
          <w:highlight w:val="none"/>
        </w:rPr>
      </w:r>
    </w:p>
    <w:p>
      <w:pPr>
        <w:ind w:left="0" w:right="0" w:firstLine="0"/>
        <w:jc w:val="both"/>
        <w:spacing w:after="62" w:line="276" w:lineRule="atLeast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</w:rPr>
        <w:t xml:space="preserve">#Росреестр #РосреестрЧита #РосреестрЗабайкальскийКрай #ЗабайкальскийРосреестр #Росреестр75 #Геодезия #ПунктГГС #Ответственность #СохранимГеодезическиеПунктыВместе</w:t>
      </w:r>
      <w:r>
        <w:rPr>
          <w:rFonts w:ascii="Tinos" w:hAnsi="Tinos" w:cs="Tinos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00603000000000000"/>
  </w:font>
  <w:font w:name="Tinos">
    <w:panose1 w:val="02020603050405020304"/>
  </w:font>
  <w:font w:name="Symbol">
    <w:panose1 w:val="05010000000000000000"/>
  </w:font>
  <w:font w:name="Wingdings">
    <w:panose1 w:val="05010000000000000000"/>
  </w:font>
  <w:font w:name="Times New Roman">
    <w:panose1 w:val="02020603050405020304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0">
    <w:name w:val="Heading 1 Char"/>
    <w:basedOn w:val="944"/>
    <w:link w:val="943"/>
    <w:uiPriority w:val="9"/>
    <w:rPr>
      <w:rFonts w:ascii="Arial" w:hAnsi="Arial" w:eastAsia="Arial" w:cs="Arial"/>
      <w:sz w:val="40"/>
      <w:szCs w:val="40"/>
    </w:rPr>
  </w:style>
  <w:style w:type="paragraph" w:styleId="771">
    <w:name w:val="Heading 2"/>
    <w:basedOn w:val="942"/>
    <w:next w:val="942"/>
    <w:link w:val="7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2">
    <w:name w:val="Heading 2 Char"/>
    <w:basedOn w:val="944"/>
    <w:link w:val="771"/>
    <w:uiPriority w:val="9"/>
    <w:rPr>
      <w:rFonts w:ascii="Arial" w:hAnsi="Arial" w:eastAsia="Arial" w:cs="Arial"/>
      <w:sz w:val="34"/>
    </w:rPr>
  </w:style>
  <w:style w:type="paragraph" w:styleId="773">
    <w:name w:val="Heading 3"/>
    <w:basedOn w:val="942"/>
    <w:next w:val="942"/>
    <w:link w:val="77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4">
    <w:name w:val="Heading 3 Char"/>
    <w:basedOn w:val="944"/>
    <w:link w:val="773"/>
    <w:uiPriority w:val="9"/>
    <w:rPr>
      <w:rFonts w:ascii="Arial" w:hAnsi="Arial" w:eastAsia="Arial" w:cs="Arial"/>
      <w:sz w:val="30"/>
      <w:szCs w:val="30"/>
    </w:rPr>
  </w:style>
  <w:style w:type="paragraph" w:styleId="775">
    <w:name w:val="Heading 4"/>
    <w:basedOn w:val="942"/>
    <w:next w:val="942"/>
    <w:link w:val="7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6">
    <w:name w:val="Heading 4 Char"/>
    <w:basedOn w:val="944"/>
    <w:link w:val="775"/>
    <w:uiPriority w:val="9"/>
    <w:rPr>
      <w:rFonts w:ascii="Arial" w:hAnsi="Arial" w:eastAsia="Arial" w:cs="Arial"/>
      <w:b/>
      <w:bCs/>
      <w:sz w:val="26"/>
      <w:szCs w:val="26"/>
    </w:rPr>
  </w:style>
  <w:style w:type="paragraph" w:styleId="777">
    <w:name w:val="Heading 5"/>
    <w:basedOn w:val="942"/>
    <w:next w:val="942"/>
    <w:link w:val="7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8">
    <w:name w:val="Heading 5 Char"/>
    <w:basedOn w:val="944"/>
    <w:link w:val="777"/>
    <w:uiPriority w:val="9"/>
    <w:rPr>
      <w:rFonts w:ascii="Arial" w:hAnsi="Arial" w:eastAsia="Arial" w:cs="Arial"/>
      <w:b/>
      <w:bCs/>
      <w:sz w:val="24"/>
      <w:szCs w:val="24"/>
    </w:rPr>
  </w:style>
  <w:style w:type="paragraph" w:styleId="779">
    <w:name w:val="Heading 6"/>
    <w:basedOn w:val="942"/>
    <w:next w:val="942"/>
    <w:link w:val="7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0">
    <w:name w:val="Heading 6 Char"/>
    <w:basedOn w:val="944"/>
    <w:link w:val="779"/>
    <w:uiPriority w:val="9"/>
    <w:rPr>
      <w:rFonts w:ascii="Arial" w:hAnsi="Arial" w:eastAsia="Arial" w:cs="Arial"/>
      <w:b/>
      <w:bCs/>
      <w:sz w:val="22"/>
      <w:szCs w:val="22"/>
    </w:rPr>
  </w:style>
  <w:style w:type="paragraph" w:styleId="781">
    <w:name w:val="Heading 7"/>
    <w:basedOn w:val="942"/>
    <w:next w:val="942"/>
    <w:link w:val="7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2">
    <w:name w:val="Heading 7 Char"/>
    <w:basedOn w:val="944"/>
    <w:link w:val="7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3">
    <w:name w:val="Heading 8"/>
    <w:basedOn w:val="942"/>
    <w:next w:val="942"/>
    <w:link w:val="7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4">
    <w:name w:val="Heading 8 Char"/>
    <w:basedOn w:val="944"/>
    <w:link w:val="783"/>
    <w:uiPriority w:val="9"/>
    <w:rPr>
      <w:rFonts w:ascii="Arial" w:hAnsi="Arial" w:eastAsia="Arial" w:cs="Arial"/>
      <w:i/>
      <w:iCs/>
      <w:sz w:val="22"/>
      <w:szCs w:val="22"/>
    </w:rPr>
  </w:style>
  <w:style w:type="paragraph" w:styleId="785">
    <w:name w:val="Heading 9"/>
    <w:basedOn w:val="942"/>
    <w:next w:val="942"/>
    <w:link w:val="7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6">
    <w:name w:val="Heading 9 Char"/>
    <w:basedOn w:val="944"/>
    <w:link w:val="785"/>
    <w:uiPriority w:val="9"/>
    <w:rPr>
      <w:rFonts w:ascii="Arial" w:hAnsi="Arial" w:eastAsia="Arial" w:cs="Arial"/>
      <w:i/>
      <w:iCs/>
      <w:sz w:val="21"/>
      <w:szCs w:val="21"/>
    </w:rPr>
  </w:style>
  <w:style w:type="paragraph" w:styleId="787">
    <w:name w:val="Title"/>
    <w:basedOn w:val="942"/>
    <w:next w:val="942"/>
    <w:link w:val="7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8">
    <w:name w:val="Title Char"/>
    <w:basedOn w:val="944"/>
    <w:link w:val="787"/>
    <w:uiPriority w:val="10"/>
    <w:rPr>
      <w:sz w:val="48"/>
      <w:szCs w:val="48"/>
    </w:rPr>
  </w:style>
  <w:style w:type="paragraph" w:styleId="789">
    <w:name w:val="Subtitle"/>
    <w:basedOn w:val="942"/>
    <w:next w:val="942"/>
    <w:link w:val="790"/>
    <w:uiPriority w:val="11"/>
    <w:qFormat/>
    <w:pPr>
      <w:spacing w:before="200" w:after="200"/>
    </w:pPr>
    <w:rPr>
      <w:sz w:val="24"/>
      <w:szCs w:val="24"/>
    </w:rPr>
  </w:style>
  <w:style w:type="character" w:styleId="790">
    <w:name w:val="Subtitle Char"/>
    <w:basedOn w:val="944"/>
    <w:link w:val="789"/>
    <w:uiPriority w:val="11"/>
    <w:rPr>
      <w:sz w:val="24"/>
      <w:szCs w:val="24"/>
    </w:rPr>
  </w:style>
  <w:style w:type="paragraph" w:styleId="791">
    <w:name w:val="Quote"/>
    <w:basedOn w:val="942"/>
    <w:next w:val="942"/>
    <w:link w:val="792"/>
    <w:uiPriority w:val="29"/>
    <w:qFormat/>
    <w:pPr>
      <w:ind w:left="720" w:right="720"/>
    </w:pPr>
    <w:rPr>
      <w:i/>
    </w:rPr>
  </w:style>
  <w:style w:type="character" w:styleId="792">
    <w:name w:val="Quote Char"/>
    <w:link w:val="791"/>
    <w:uiPriority w:val="29"/>
    <w:rPr>
      <w:i/>
    </w:rPr>
  </w:style>
  <w:style w:type="paragraph" w:styleId="793">
    <w:name w:val="Intense Quote"/>
    <w:basedOn w:val="942"/>
    <w:next w:val="942"/>
    <w:link w:val="79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4">
    <w:name w:val="Intense Quote Char"/>
    <w:link w:val="793"/>
    <w:uiPriority w:val="30"/>
    <w:rPr>
      <w:i/>
    </w:rPr>
  </w:style>
  <w:style w:type="character" w:styleId="795">
    <w:name w:val="Header Char"/>
    <w:basedOn w:val="944"/>
    <w:link w:val="959"/>
    <w:uiPriority w:val="99"/>
  </w:style>
  <w:style w:type="character" w:styleId="796">
    <w:name w:val="Footer Char"/>
    <w:basedOn w:val="944"/>
    <w:link w:val="961"/>
    <w:uiPriority w:val="99"/>
  </w:style>
  <w:style w:type="paragraph" w:styleId="797">
    <w:name w:val="Caption"/>
    <w:basedOn w:val="942"/>
    <w:next w:val="9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8">
    <w:name w:val="Caption Char"/>
    <w:basedOn w:val="797"/>
    <w:link w:val="961"/>
    <w:uiPriority w:val="99"/>
  </w:style>
  <w:style w:type="table" w:styleId="799">
    <w:name w:val="Table Grid"/>
    <w:basedOn w:val="94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0">
    <w:name w:val="Table Grid Light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1">
    <w:name w:val="Plain Table 1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2">
    <w:name w:val="Plain Table 2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3">
    <w:name w:val="Plain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4">
    <w:name w:val="Plain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Plain Table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6">
    <w:name w:val="Grid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8">
    <w:name w:val="Grid Table 4 - Accent 1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9">
    <w:name w:val="Grid Table 4 - Accent 2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Grid Table 4 - Accent 3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1">
    <w:name w:val="Grid Table 4 - Accent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Grid Table 4 - Accent 5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3">
    <w:name w:val="Grid Table 4 - Accent 6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4">
    <w:name w:val="Grid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5">
    <w:name w:val="Grid Table 5 Dark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38">
    <w:name w:val="Grid Table 5 Dark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1">
    <w:name w:val="Grid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2">
    <w:name w:val="Grid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3">
    <w:name w:val="Grid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4">
    <w:name w:val="Grid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5">
    <w:name w:val="Grid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6">
    <w:name w:val="Grid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7">
    <w:name w:val="Grid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8">
    <w:name w:val="Grid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3">
    <w:name w:val="List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4">
    <w:name w:val="List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5">
    <w:name w:val="List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6">
    <w:name w:val="List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7">
    <w:name w:val="List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8">
    <w:name w:val="List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9">
    <w:name w:val="List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1">
    <w:name w:val="List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2">
    <w:name w:val="List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3">
    <w:name w:val="List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4">
    <w:name w:val="List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5">
    <w:name w:val="List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6">
    <w:name w:val="List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7">
    <w:name w:val="List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8">
    <w:name w:val="List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99">
    <w:name w:val="List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0">
    <w:name w:val="List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1">
    <w:name w:val="List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2">
    <w:name w:val="List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3">
    <w:name w:val="List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4">
    <w:name w:val="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5">
    <w:name w:val="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6">
    <w:name w:val="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7">
    <w:name w:val="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8">
    <w:name w:val="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9">
    <w:name w:val="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0">
    <w:name w:val="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1">
    <w:name w:val="Bordered &amp; 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Bordered &amp; 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3">
    <w:name w:val="Bordered &amp; 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4">
    <w:name w:val="Bordered &amp; 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5">
    <w:name w:val="Bordered &amp; 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6">
    <w:name w:val="Bordered &amp; 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7">
    <w:name w:val="Bordered &amp; 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8">
    <w:name w:val="Bordered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9">
    <w:name w:val="Bordered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0">
    <w:name w:val="Bordered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1">
    <w:name w:val="Bordered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2">
    <w:name w:val="Bordered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3">
    <w:name w:val="Bordered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4">
    <w:name w:val="Bordered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5">
    <w:name w:val="footnote text"/>
    <w:basedOn w:val="942"/>
    <w:link w:val="926"/>
    <w:uiPriority w:val="99"/>
    <w:semiHidden/>
    <w:unhideWhenUsed/>
    <w:pPr>
      <w:spacing w:after="40" w:line="240" w:lineRule="auto"/>
    </w:pPr>
    <w:rPr>
      <w:sz w:val="18"/>
    </w:rPr>
  </w:style>
  <w:style w:type="character" w:styleId="926">
    <w:name w:val="Footnote Text Char"/>
    <w:link w:val="925"/>
    <w:uiPriority w:val="99"/>
    <w:rPr>
      <w:sz w:val="18"/>
    </w:rPr>
  </w:style>
  <w:style w:type="character" w:styleId="927">
    <w:name w:val="footnote reference"/>
    <w:basedOn w:val="944"/>
    <w:uiPriority w:val="99"/>
    <w:unhideWhenUsed/>
    <w:rPr>
      <w:vertAlign w:val="superscript"/>
    </w:rPr>
  </w:style>
  <w:style w:type="paragraph" w:styleId="928">
    <w:name w:val="endnote text"/>
    <w:basedOn w:val="942"/>
    <w:link w:val="929"/>
    <w:uiPriority w:val="99"/>
    <w:semiHidden/>
    <w:unhideWhenUsed/>
    <w:pPr>
      <w:spacing w:after="0" w:line="240" w:lineRule="auto"/>
    </w:pPr>
    <w:rPr>
      <w:sz w:val="20"/>
    </w:rPr>
  </w:style>
  <w:style w:type="character" w:styleId="929">
    <w:name w:val="Endnote Text Char"/>
    <w:link w:val="928"/>
    <w:uiPriority w:val="99"/>
    <w:rPr>
      <w:sz w:val="20"/>
    </w:rPr>
  </w:style>
  <w:style w:type="character" w:styleId="930">
    <w:name w:val="endnote reference"/>
    <w:basedOn w:val="944"/>
    <w:uiPriority w:val="99"/>
    <w:semiHidden/>
    <w:unhideWhenUsed/>
    <w:rPr>
      <w:vertAlign w:val="superscript"/>
    </w:rPr>
  </w:style>
  <w:style w:type="paragraph" w:styleId="931">
    <w:name w:val="toc 1"/>
    <w:basedOn w:val="942"/>
    <w:next w:val="942"/>
    <w:uiPriority w:val="39"/>
    <w:unhideWhenUsed/>
    <w:pPr>
      <w:ind w:left="0" w:right="0" w:firstLine="0"/>
      <w:spacing w:after="57"/>
    </w:pPr>
  </w:style>
  <w:style w:type="paragraph" w:styleId="932">
    <w:name w:val="toc 2"/>
    <w:basedOn w:val="942"/>
    <w:next w:val="942"/>
    <w:uiPriority w:val="39"/>
    <w:unhideWhenUsed/>
    <w:pPr>
      <w:ind w:left="283" w:right="0" w:firstLine="0"/>
      <w:spacing w:after="57"/>
    </w:pPr>
  </w:style>
  <w:style w:type="paragraph" w:styleId="933">
    <w:name w:val="toc 3"/>
    <w:basedOn w:val="942"/>
    <w:next w:val="942"/>
    <w:uiPriority w:val="39"/>
    <w:unhideWhenUsed/>
    <w:pPr>
      <w:ind w:left="567" w:right="0" w:firstLine="0"/>
      <w:spacing w:after="57"/>
    </w:pPr>
  </w:style>
  <w:style w:type="paragraph" w:styleId="934">
    <w:name w:val="toc 4"/>
    <w:basedOn w:val="942"/>
    <w:next w:val="942"/>
    <w:uiPriority w:val="39"/>
    <w:unhideWhenUsed/>
    <w:pPr>
      <w:ind w:left="850" w:right="0" w:firstLine="0"/>
      <w:spacing w:after="57"/>
    </w:pPr>
  </w:style>
  <w:style w:type="paragraph" w:styleId="935">
    <w:name w:val="toc 5"/>
    <w:basedOn w:val="942"/>
    <w:next w:val="942"/>
    <w:uiPriority w:val="39"/>
    <w:unhideWhenUsed/>
    <w:pPr>
      <w:ind w:left="1134" w:right="0" w:firstLine="0"/>
      <w:spacing w:after="57"/>
    </w:pPr>
  </w:style>
  <w:style w:type="paragraph" w:styleId="936">
    <w:name w:val="toc 6"/>
    <w:basedOn w:val="942"/>
    <w:next w:val="942"/>
    <w:uiPriority w:val="39"/>
    <w:unhideWhenUsed/>
    <w:pPr>
      <w:ind w:left="1417" w:right="0" w:firstLine="0"/>
      <w:spacing w:after="57"/>
    </w:pPr>
  </w:style>
  <w:style w:type="paragraph" w:styleId="937">
    <w:name w:val="toc 7"/>
    <w:basedOn w:val="942"/>
    <w:next w:val="942"/>
    <w:uiPriority w:val="39"/>
    <w:unhideWhenUsed/>
    <w:pPr>
      <w:ind w:left="1701" w:right="0" w:firstLine="0"/>
      <w:spacing w:after="57"/>
    </w:pPr>
  </w:style>
  <w:style w:type="paragraph" w:styleId="938">
    <w:name w:val="toc 8"/>
    <w:basedOn w:val="942"/>
    <w:next w:val="942"/>
    <w:uiPriority w:val="39"/>
    <w:unhideWhenUsed/>
    <w:pPr>
      <w:ind w:left="1984" w:right="0" w:firstLine="0"/>
      <w:spacing w:after="57"/>
    </w:pPr>
  </w:style>
  <w:style w:type="paragraph" w:styleId="939">
    <w:name w:val="toc 9"/>
    <w:basedOn w:val="942"/>
    <w:next w:val="942"/>
    <w:uiPriority w:val="39"/>
    <w:unhideWhenUsed/>
    <w:pPr>
      <w:ind w:left="2268" w:right="0" w:firstLine="0"/>
      <w:spacing w:after="57"/>
    </w:pPr>
  </w:style>
  <w:style w:type="paragraph" w:styleId="940">
    <w:name w:val="TOC Heading"/>
    <w:uiPriority w:val="39"/>
    <w:unhideWhenUsed/>
  </w:style>
  <w:style w:type="paragraph" w:styleId="941">
    <w:name w:val="table of figures"/>
    <w:basedOn w:val="942"/>
    <w:next w:val="942"/>
    <w:uiPriority w:val="99"/>
    <w:unhideWhenUsed/>
    <w:pPr>
      <w:spacing w:after="0" w:afterAutospacing="0"/>
    </w:pPr>
  </w:style>
  <w:style w:type="paragraph" w:styleId="942" w:default="1">
    <w:name w:val="Normal"/>
    <w:qFormat/>
    <w:pPr>
      <w:spacing w:after="200" w:line="276" w:lineRule="auto"/>
    </w:pPr>
  </w:style>
  <w:style w:type="paragraph" w:styleId="943">
    <w:name w:val="Heading 1"/>
    <w:basedOn w:val="942"/>
    <w:next w:val="942"/>
    <w:link w:val="950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44" w:default="1">
    <w:name w:val="Default Paragraph Font"/>
    <w:uiPriority w:val="1"/>
    <w:semiHidden/>
    <w:unhideWhenUsed/>
  </w:style>
  <w:style w:type="table" w:styleId="9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6" w:default="1">
    <w:name w:val="No List"/>
    <w:uiPriority w:val="99"/>
    <w:semiHidden/>
    <w:unhideWhenUsed/>
  </w:style>
  <w:style w:type="paragraph" w:styleId="947">
    <w:name w:val="Balloon Text"/>
    <w:basedOn w:val="942"/>
    <w:link w:val="94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48" w:customStyle="1">
    <w:name w:val="Текст выноски Знак"/>
    <w:basedOn w:val="944"/>
    <w:link w:val="947"/>
    <w:uiPriority w:val="99"/>
    <w:semiHidden/>
    <w:rPr>
      <w:rFonts w:ascii="Segoe UI" w:hAnsi="Segoe UI" w:cs="Segoe UI"/>
      <w:sz w:val="18"/>
      <w:szCs w:val="18"/>
    </w:rPr>
  </w:style>
  <w:style w:type="paragraph" w:styleId="949">
    <w:name w:val="No Spacing"/>
    <w:uiPriority w:val="1"/>
    <w:qFormat/>
    <w:pPr>
      <w:spacing w:after="0" w:line="240" w:lineRule="auto"/>
    </w:pPr>
  </w:style>
  <w:style w:type="character" w:styleId="950" w:customStyle="1">
    <w:name w:val="Заголовок 1 Знак"/>
    <w:basedOn w:val="944"/>
    <w:link w:val="943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51">
    <w:name w:val="List Paragraph"/>
    <w:basedOn w:val="942"/>
    <w:uiPriority w:val="34"/>
    <w:qFormat/>
    <w:pPr>
      <w:contextualSpacing/>
      <w:ind w:left="720"/>
      <w:spacing w:after="160" w:line="256" w:lineRule="auto"/>
    </w:pPr>
  </w:style>
  <w:style w:type="character" w:styleId="952">
    <w:name w:val="Hyperlink"/>
    <w:basedOn w:val="944"/>
    <w:uiPriority w:val="99"/>
    <w:unhideWhenUsed/>
    <w:rPr>
      <w:color w:val="0563c1" w:themeColor="hyperlink"/>
      <w:u w:val="single"/>
    </w:rPr>
  </w:style>
  <w:style w:type="character" w:styleId="953">
    <w:name w:val="annotation reference"/>
    <w:basedOn w:val="944"/>
    <w:uiPriority w:val="99"/>
    <w:semiHidden/>
    <w:unhideWhenUsed/>
    <w:rPr>
      <w:sz w:val="16"/>
      <w:szCs w:val="16"/>
    </w:rPr>
  </w:style>
  <w:style w:type="paragraph" w:styleId="954">
    <w:name w:val="annotation text"/>
    <w:basedOn w:val="942"/>
    <w:link w:val="955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55" w:customStyle="1">
    <w:name w:val="Текст примечания Знак"/>
    <w:basedOn w:val="944"/>
    <w:link w:val="954"/>
    <w:uiPriority w:val="99"/>
    <w:semiHidden/>
    <w:rPr>
      <w:sz w:val="20"/>
      <w:szCs w:val="20"/>
    </w:rPr>
  </w:style>
  <w:style w:type="paragraph" w:styleId="956">
    <w:name w:val="annotation subject"/>
    <w:basedOn w:val="954"/>
    <w:next w:val="954"/>
    <w:link w:val="957"/>
    <w:uiPriority w:val="99"/>
    <w:semiHidden/>
    <w:unhideWhenUsed/>
    <w:rPr>
      <w:b/>
      <w:bCs/>
    </w:rPr>
  </w:style>
  <w:style w:type="character" w:styleId="957" w:customStyle="1">
    <w:name w:val="Тема примечания Знак"/>
    <w:basedOn w:val="955"/>
    <w:link w:val="956"/>
    <w:uiPriority w:val="99"/>
    <w:semiHidden/>
    <w:rPr>
      <w:b/>
      <w:bCs/>
      <w:sz w:val="20"/>
      <w:szCs w:val="20"/>
    </w:rPr>
  </w:style>
  <w:style w:type="character" w:styleId="958">
    <w:name w:val="Strong"/>
    <w:basedOn w:val="944"/>
    <w:uiPriority w:val="22"/>
    <w:qFormat/>
    <w:rPr>
      <w:b/>
      <w:bCs/>
    </w:rPr>
  </w:style>
  <w:style w:type="paragraph" w:styleId="959">
    <w:name w:val="Header"/>
    <w:basedOn w:val="942"/>
    <w:link w:val="9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0" w:customStyle="1">
    <w:name w:val="Верхний колонтитул Знак"/>
    <w:basedOn w:val="944"/>
    <w:link w:val="959"/>
    <w:uiPriority w:val="99"/>
  </w:style>
  <w:style w:type="paragraph" w:styleId="961">
    <w:name w:val="Footer"/>
    <w:basedOn w:val="942"/>
    <w:link w:val="9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2" w:customStyle="1">
    <w:name w:val="Нижний колонтитул Знак"/>
    <w:basedOn w:val="944"/>
    <w:link w:val="961"/>
    <w:uiPriority w:val="99"/>
  </w:style>
  <w:style w:type="paragraph" w:styleId="1_888" w:customStyle="1">
    <w:name w:val="ConsPlusNonforma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12</cp:revision>
  <dcterms:created xsi:type="dcterms:W3CDTF">2022-05-27T10:42:00Z</dcterms:created>
  <dcterms:modified xsi:type="dcterms:W3CDTF">2025-06-23T06:56:45Z</dcterms:modified>
</cp:coreProperties>
</file>