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РОСРЕЕСТР РАЗЪЯСНЯЕТ: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овые правила надзора за зем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ельными участками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 1 сентября 2025 года вступают в силу новые критерии неиспользования земель (Постановление Правительства № 826 от 29.05.2025). Разбираемся, кому это грозит и как избежать проблем.</w:t>
      </w:r>
      <w:r>
        <w:rPr>
          <w:rFonts w:ascii="Tinos" w:hAnsi="Tinos" w:eastAsia="Tinos" w:cs="Tinos"/>
          <w:sz w:val="28"/>
          <w:szCs w:val="28"/>
          <w:highlight w:val="white"/>
        </w:rPr>
      </w:r>
      <w:r/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Какие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 участки под контролем (надзором)?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Правила касаются:</w:t>
      </w:r>
      <w:r/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Земель в границах населенных пунктов;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- Садовых и огородных участков(СНТ, ДНП, ЛПХ)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Исключения - если участок нельзя использовать из-за: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ареста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стихийных бедствий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иных уважительных причин (например, долги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й срок согласования строительства).</w:t>
      </w:r>
      <w:r/>
      <w:r/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3 главных признака «заброшенности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»: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951"/>
        <w:numPr>
          <w:ilvl w:val="0"/>
          <w:numId w:val="6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Захламление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Более 50% площади завалено мусором, стройматериалами или отходами.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1"/>
        <w:numPr>
          <w:ilvl w:val="0"/>
          <w:numId w:val="5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Уборка не проводилась больше года.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2. Отсутствие построек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– За 5 лет (или иной срок из разрешен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ия) не возведено ни одного объекта с зарегистрированными правами.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3. Разрушенные строения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: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– У зданий нет крыши, стен или окон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– Дефекты не устранялись год и более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– Исключение: если здание признано аварийным и подлежит сносу/реконструкции по официальным д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окументам.</w:t>
      </w:r>
      <w:r>
        <w:rPr>
          <w:rFonts w:ascii="Tinos" w:hAnsi="Tinos" w:eastAsia="Tinos" w:cs="Tinos"/>
          <w:sz w:val="28"/>
          <w:szCs w:val="28"/>
          <w:highlight w:val="none"/>
        </w:rPr>
      </w:r>
      <w:r/>
    </w:p>
    <w:p>
      <w:pPr>
        <w:contextualSpacing/>
        <w:ind w:left="283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1"/>
        <w:numPr>
          <w:ilvl w:val="0"/>
          <w:numId w:val="7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Собственникам участков будет предоставлено определенное время для устранение нарушений, прежде чем участок будет признан неиспользуемым, – отмечает Татьяна Лобан, заместитель руководителя Управления Росреестра по Забайкальскому краю.</w:t>
      </w:r>
      <w:r/>
      <w:r/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#ЗемельныйУчасток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1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2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9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1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3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15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7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59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1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3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752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2025-07-24T02:02:12Z</dcterms:modified>
</cp:coreProperties>
</file>